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0237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 марта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ч.2 ст. 12.2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Муби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джон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Манонович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 по адресу: 628402</w:t>
      </w:r>
      <w:r>
        <w:rPr>
          <w:rStyle w:val="cat-UserDefinedgrp-4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 на жительство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выданный граж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данину иностранного государства </w:t>
      </w:r>
      <w:r>
        <w:rPr>
          <w:rStyle w:val="cat-ExternalSystemDefinedgrp-4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Style w:val="cat-ExternalSystemDefinedgrp-4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ExternalSystemDefinedgrp-4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национальное водительское удостоверение </w:t>
      </w:r>
      <w:r>
        <w:rPr>
          <w:rStyle w:val="cat-UserDefinedgrp-45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20 января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года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02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40 </w:t>
      </w:r>
      <w:r>
        <w:rPr>
          <w:rFonts w:ascii="Times New Roman" w:eastAsia="Times New Roman" w:hAnsi="Times New Roman" w:cs="Times New Roman"/>
          <w:sz w:val="27"/>
          <w:szCs w:val="27"/>
        </w:rPr>
        <w:t>мин.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6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Хасанов М.М.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правлял транспортным </w:t>
      </w:r>
      <w:r>
        <w:rPr>
          <w:rFonts w:ascii="Times New Roman" w:eastAsia="Times New Roman" w:hAnsi="Times New Roman" w:cs="Times New Roman"/>
          <w:sz w:val="27"/>
          <w:szCs w:val="27"/>
        </w:rPr>
        <w:t>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r>
        <w:rPr>
          <w:rStyle w:val="cat-UserDefinedgrp-47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 </w:t>
      </w:r>
      <w:r>
        <w:rPr>
          <w:rStyle w:val="cat-CarNumbergrp-30rplc-2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применением материала (устройства), препятствующего идентификации переднего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знак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замотан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полимерной пленкой со скотчем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чем нарушил п. 2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Федерации.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</w:rPr>
        <w:t>оставлен протокол об административном правонарушении, предусмотренном ч. 2 ст. 12.2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Хасанов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предусмотренного ч. 2 ст. 12.2 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8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фотоматериалами, карточкой </w:t>
      </w:r>
      <w:r>
        <w:rPr>
          <w:rFonts w:ascii="Times New Roman" w:eastAsia="Times New Roman" w:hAnsi="Times New Roman" w:cs="Times New Roman"/>
          <w:sz w:val="27"/>
          <w:szCs w:val="27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рапортом сотрудника полиции, составленным по обстоятельствам события административного правонарушения,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определением о передаче протокола об административном правонарушении и других материалов дела на рас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смотрение по подведомственности и другими материалами.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Российской Федерации от 23.10.1993 N 1090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11 Основных положений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квалифицирует по ч. 2 ст. 12.2 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управление транспортным средством без государственных регистрационных знаков.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М.М.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в судебном заседании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учитывая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Хасанова М.М.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наличие смягчающих и отягчающих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полагаю справедливым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ему административное наказание в виде административного штрафа, которое соразмерно тяжести содеянного, соответствует фактическим обстоятельствам по данному делу и послужит достижением целей административного наказания, а именно: предупреждению совершения новых правонарушений как самим правонарушителем, так и другими лицами.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Хасанова </w:t>
      </w:r>
      <w:r>
        <w:rPr>
          <w:rFonts w:ascii="Times New Roman" w:eastAsia="Times New Roman" w:hAnsi="Times New Roman" w:cs="Times New Roman"/>
          <w:sz w:val="27"/>
          <w:szCs w:val="27"/>
        </w:rPr>
        <w:t>Мубинджона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Маноновича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(пять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10486240740001442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(присвоенный получателем платежа),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0412365400135002372412168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7"/>
          <w:szCs w:val="27"/>
        </w:rPr>
        <w:t>вручения или получения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постановления.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6">
    <w:name w:val="cat-ExternalSystemDefined grp-39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ExternalSystemDefinedgrp-41rplc-14">
    <w:name w:val="cat-ExternalSystemDefined grp-41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UserDefinedgrp-45rplc-19">
    <w:name w:val="cat-UserDefined grp-45 rplc-19"/>
    <w:basedOn w:val="DefaultParagraphFont"/>
  </w:style>
  <w:style w:type="character" w:customStyle="1" w:styleId="cat-UserDefinedgrp-46rplc-23">
    <w:name w:val="cat-UserDefined grp-46 rplc-23"/>
    <w:basedOn w:val="DefaultParagraphFont"/>
  </w:style>
  <w:style w:type="character" w:customStyle="1" w:styleId="cat-UserDefinedgrp-47rplc-26">
    <w:name w:val="cat-UserDefined grp-47 rplc-26"/>
    <w:basedOn w:val="DefaultParagraphFont"/>
  </w:style>
  <w:style w:type="character" w:customStyle="1" w:styleId="cat-CarNumbergrp-30rplc-27">
    <w:name w:val="cat-CarNumber grp-30 rplc-27"/>
    <w:basedOn w:val="DefaultParagraphFont"/>
  </w:style>
  <w:style w:type="character" w:customStyle="1" w:styleId="cat-UserDefinedgrp-48rplc-33">
    <w:name w:val="cat-UserDefined grp-48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